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color w:val="000000"/>
          <w:sz w:val="6"/>
          <w:szCs w:val="20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65722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798111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51.7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6"/>
          <w:szCs w:val="20"/>
        </w:rPr>
      </w:r>
      <w:r>
        <w:rPr>
          <w:rFonts w:ascii="Times New Roman" w:hAnsi="Times New Roman" w:eastAsia="Times New Roman" w:cs="Times New Roman"/>
          <w:color w:val="000000"/>
          <w:sz w:val="6"/>
          <w:szCs w:val="20"/>
        </w:rPr>
      </w:r>
    </w:p>
    <w:p>
      <w:pPr>
        <w:ind w:left="284"/>
        <w:jc w:val="center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 w:cs="Times New Roman"/>
          <w:color w:val="000000"/>
          <w:sz w:val="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6"/>
          <w:szCs w:val="20"/>
        </w:rPr>
      </w:r>
      <w:r>
        <w:rPr>
          <w:rFonts w:ascii="Times New Roman" w:hAnsi="Times New Roman" w:eastAsia="Times New Roman" w:cs="Times New Roman"/>
          <w:color w:val="000000"/>
          <w:sz w:val="6"/>
          <w:szCs w:val="20"/>
        </w:rPr>
      </w:r>
      <w:r>
        <w:rPr>
          <w:rFonts w:ascii="Times New Roman" w:hAnsi="Times New Roman" w:eastAsia="Times New Roman" w:cs="Times New Roman"/>
          <w:color w:val="000000"/>
          <w:sz w:val="6"/>
          <w:szCs w:val="20"/>
        </w:rPr>
      </w:r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МИНИСТЕРСТВО ФИНАНСОВ РОССИЙСКОЙ ФЕДЕРАЦИИ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1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10"/>
          <w:szCs w:val="20"/>
        </w:rPr>
      </w:r>
      <w:r>
        <w:rPr>
          <w:rFonts w:ascii="Times New Roman" w:hAnsi="Times New Roman" w:eastAsia="Times New Roman" w:cs="Times New Roman"/>
          <w:color w:val="000000"/>
          <w:sz w:val="10"/>
          <w:szCs w:val="20"/>
        </w:rPr>
      </w:r>
      <w:r>
        <w:rPr>
          <w:rFonts w:ascii="Times New Roman" w:hAnsi="Times New Roman" w:eastAsia="Times New Roman" w:cs="Times New Roman"/>
          <w:color w:val="000000"/>
          <w:sz w:val="10"/>
          <w:szCs w:val="20"/>
        </w:rPr>
      </w:r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 xml:space="preserve">ФЕДЕРАЛЬНОЕ АГЕНТСТВО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</w:p>
    <w:p>
      <w:pPr>
        <w:ind w:left="284"/>
        <w:jc w:val="center"/>
        <w:spacing w:after="12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t xml:space="preserve">ПО УПРАВЛЕНИЮ ГОСУДАРСТВЕННЫМ ИМУЩЕСТВОМ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Cs w:val="20"/>
        </w:rPr>
      </w:pPr>
      <w:r>
        <w:rPr>
          <w:rFonts w:ascii="Times New Roman" w:hAnsi="Times New Roman" w:eastAsia="Times New Roman" w:cs="Times New Roman"/>
          <w:color w:val="000000"/>
          <w:szCs w:val="20"/>
        </w:rPr>
        <w:t xml:space="preserve"> ТЕРРИТОРИАЛЬНОЕ УПРАВЛЕНИЕ ФЕДЕРАЛЬНОГО АГЕНТСТВА ПО УПРАВЛЕНИЮ ГОСУДАРСТВЕННЫМ ИМУЩЕСТВОМ В НОВОСИБИРСКОЙ ОБЛАСТИ</w:t>
      </w:r>
      <w:r>
        <w:rPr>
          <w:rFonts w:ascii="Times New Roman" w:hAnsi="Times New Roman" w:eastAsia="Times New Roman" w:cs="Times New Roman"/>
          <w:color w:val="000000"/>
          <w:szCs w:val="20"/>
        </w:rPr>
      </w:r>
      <w:r>
        <w:rPr>
          <w:rFonts w:ascii="Times New Roman" w:hAnsi="Times New Roman" w:eastAsia="Times New Roman" w:cs="Times New Roman"/>
          <w:color w:val="000000"/>
          <w:szCs w:val="20"/>
        </w:rPr>
      </w:r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6296025" cy="9525"/>
                <wp:effectExtent l="0" t="19050" r="47625" b="47625"/>
                <wp:wrapNone/>
                <wp:docPr id="2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96023" cy="952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0.0pt,9.3pt" to="495.8pt,10.0pt" fillcolor="#FFFFFF" strokecolor="#000000" strokeweight="4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</w:p>
    <w:p>
      <w:pPr>
        <w:ind w:left="284"/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0"/>
        </w:rPr>
      </w:r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32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20"/>
        </w:rPr>
        <w:t xml:space="preserve">ПРИКАЗ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20"/>
        </w:rPr>
      </w:r>
      <w:r>
        <w:rPr>
          <w:rFonts w:ascii="Times New Roman" w:hAnsi="Times New Roman" w:eastAsia="Times New Roman" w:cs="Times New Roman"/>
          <w:b/>
          <w:color w:val="000000"/>
          <w:sz w:val="32"/>
          <w:szCs w:val="20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2024 г.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0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54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- 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</w:rPr>
        <w:t xml:space="preserve">  - ОВ</w:t>
      </w:r>
      <w:r/>
      <w:r/>
    </w:p>
    <w:p>
      <w:pPr>
        <w:ind w:left="284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  <w:t xml:space="preserve">Новосибирск</w:t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</w:p>
    <w:p>
      <w:pPr>
        <w:ind w:left="284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/>
          <w:sz w:val="24"/>
          <w:szCs w:val="20"/>
        </w:rPr>
      </w:r>
    </w:p>
    <w:p>
      <w:pPr>
        <w:pStyle w:val="620"/>
        <w:ind w:left="284" w:firstLine="113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 утверждении Положения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 создания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0"/>
        <w:ind w:left="284" w:firstLine="1134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0"/>
        <w:ind w:left="284" w:firstLine="1134"/>
        <w:jc w:val="center"/>
        <w:rPr>
          <w:rFonts w:ascii="Times New Roman" w:hAnsi="Times New Roman" w:eastAsia="Times New Roman" w:cs="Times New Roman"/>
          <w:b/>
          <w:sz w:val="20"/>
          <w:szCs w:val="28"/>
        </w:rPr>
      </w:pP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  <w:r>
        <w:rPr>
          <w:rFonts w:ascii="Times New Roman" w:hAnsi="Times New Roman" w:eastAsia="Times New Roman" w:cs="Times New Roman"/>
          <w:b/>
          <w:sz w:val="20"/>
          <w:szCs w:val="28"/>
        </w:rPr>
      </w:r>
    </w:p>
    <w:p>
      <w:pPr>
        <w:pStyle w:val="620"/>
        <w:ind w:right="1" w:firstLine="113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частью 8 статьи 19 Федерального закона от 27 июля 2004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79-ФЗ «О государственной гражданской службе Российской Федерации», подпунктом «а» пункта 7 Указа Президента Российской Федерации от 1 июля 2010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интересов», пунктом 7 Положения о комиссиях по соблюдению требований к служебному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интересов», приказом Росимущества от 29 ноября 2023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 и к а з ы в а 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0"/>
        <w:ind w:right="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Положение о комиссии по соблюдению требований к служебному поведению федеральных государственных служащих и урегулированию конфликта интересов в ТУ Росимущества в Новосибирской области согласно приложению № 1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0"/>
        <w:ind w:right="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Создать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 в ТУ Росимущества в Новосибирской области</w:t>
      </w:r>
      <w:r>
        <w:t xml:space="preserve"> </w:t>
      </w:r>
      <w:r>
        <w:rPr>
          <w:rFonts w:ascii="Times New Roman" w:hAnsi="Times New Roman" w:cs="Times New Roman"/>
          <w:sz w:val="28"/>
        </w:rPr>
        <w:t xml:space="preserve">в составе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0"/>
        <w:ind w:right="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Ознакомить с приказом всех заинтересованных лиц под роспись.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left"/>
        <w:tabs>
          <w:tab w:val="right" w:pos="1006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приказа оставляю за собой.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single"/>
        </w:rPr>
      </w:r>
    </w:p>
    <w:p>
      <w:pPr>
        <w:contextualSpacing w:val="0"/>
        <w:ind w:left="0" w:right="0" w:firstLine="0"/>
        <w:jc w:val="left"/>
        <w:tabs>
          <w:tab w:val="right" w:pos="10063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none"/>
        </w:rPr>
        <w:t xml:space="preserve">Руководитель</w:t>
        <w:tab/>
        <w:t xml:space="preserve">О.Р. Галлямов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none"/>
          <w:u w:val="single"/>
        </w:rPr>
      </w:r>
    </w:p>
    <w:sectPr>
      <w:footnotePr/>
      <w:endnotePr/>
      <w:type w:val="nextPage"/>
      <w:pgSz w:w="11906" w:h="16838" w:orient="portrait"/>
      <w:pgMar w:top="567" w:right="850" w:bottom="255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p.andreev</cp:lastModifiedBy>
  <cp:revision>1</cp:revision>
  <dcterms:modified xsi:type="dcterms:W3CDTF">2026-02-20T08:05:49Z</dcterms:modified>
</cp:coreProperties>
</file>